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0D" w:rsidRPr="00903D0D" w:rsidRDefault="00903D0D" w:rsidP="00903D0D">
      <w:pPr>
        <w:shd w:val="clear" w:color="auto" w:fill="FFFFFF"/>
        <w:spacing w:before="150" w:after="150" w:line="307" w:lineRule="atLeast"/>
        <w:rPr>
          <w:rFonts w:ascii="Verdana" w:eastAsia="Times New Roman" w:hAnsi="Verdana" w:cs="Times New Roman"/>
          <w:b/>
          <w:color w:val="111111"/>
          <w:sz w:val="19"/>
          <w:szCs w:val="19"/>
        </w:rPr>
      </w:pPr>
      <w:r w:rsidRPr="00903D0D">
        <w:rPr>
          <w:rFonts w:ascii="Verdana" w:eastAsia="Times New Roman" w:hAnsi="Verdana" w:cs="Times New Roman"/>
          <w:b/>
          <w:color w:val="111111"/>
          <w:sz w:val="19"/>
          <w:szCs w:val="19"/>
        </w:rPr>
        <w:t>Virginia State Income Tax Credit</w:t>
      </w:r>
    </w:p>
    <w:p w:rsidR="00903D0D" w:rsidRDefault="00903D0D" w:rsidP="00903D0D">
      <w:pPr>
        <w:shd w:val="clear" w:color="auto" w:fill="FFFFFF"/>
        <w:spacing w:before="150" w:after="150" w:line="307" w:lineRule="atLeast"/>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 xml:space="preserve">Your contribution to the VDAF may be eligible for Virginia’s Neighborhood Assistance Program (NAP).  NAP offers Virginia state income tax credits to individuals and eligible donors of qualified, participating organizations.  The VDAF participates in the NAP program. </w:t>
      </w:r>
    </w:p>
    <w:p w:rsidR="00903D0D" w:rsidRPr="00903D0D" w:rsidRDefault="00903D0D" w:rsidP="00903D0D">
      <w:pPr>
        <w:shd w:val="clear" w:color="auto" w:fill="FFFFFF"/>
        <w:spacing w:before="150" w:after="150" w:line="307" w:lineRule="atLeast"/>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 xml:space="preserve">Eligible corporations and individuals making charitable contributions to </w:t>
      </w:r>
      <w:r w:rsidR="007C7D31">
        <w:rPr>
          <w:rFonts w:ascii="Verdana" w:eastAsia="Times New Roman" w:hAnsi="Verdana" w:cs="Times New Roman"/>
          <w:color w:val="111111"/>
          <w:sz w:val="19"/>
          <w:szCs w:val="19"/>
        </w:rPr>
        <w:t>the VDAF</w:t>
      </w:r>
      <w:r w:rsidRPr="00903D0D">
        <w:rPr>
          <w:rFonts w:ascii="Verdana" w:eastAsia="Times New Roman" w:hAnsi="Verdana" w:cs="Times New Roman"/>
          <w:color w:val="111111"/>
          <w:sz w:val="19"/>
          <w:szCs w:val="19"/>
        </w:rPr>
        <w:t xml:space="preserve"> may receive tax credits valued at 65% of their donation (see criteria below).</w:t>
      </w:r>
    </w:p>
    <w:tbl>
      <w:tblPr>
        <w:tblW w:w="9178" w:type="dxa"/>
        <w:tblInd w:w="15" w:type="dxa"/>
        <w:tblCellMar>
          <w:left w:w="0" w:type="dxa"/>
          <w:right w:w="0" w:type="dxa"/>
        </w:tblCellMar>
        <w:tblLook w:val="04A0" w:firstRow="1" w:lastRow="0" w:firstColumn="1" w:lastColumn="0" w:noHBand="0" w:noVBand="1"/>
      </w:tblPr>
      <w:tblGrid>
        <w:gridCol w:w="1259"/>
        <w:gridCol w:w="1165"/>
        <w:gridCol w:w="1497"/>
        <w:gridCol w:w="1676"/>
        <w:gridCol w:w="1847"/>
        <w:gridCol w:w="1734"/>
      </w:tblGrid>
      <w:tr w:rsidR="00903D0D" w:rsidRPr="00903D0D" w:rsidTr="00E1634F">
        <w:trPr>
          <w:trHeight w:val="759"/>
        </w:trPr>
        <w:tc>
          <w:tcPr>
            <w:tcW w:w="0" w:type="auto"/>
            <w:tcBorders>
              <w:top w:val="single" w:sz="6" w:space="0" w:color="BFBEBA"/>
              <w:left w:val="single" w:sz="6" w:space="0" w:color="BFBEBA"/>
              <w:bottom w:val="single" w:sz="6" w:space="0" w:color="BFBEBA"/>
              <w:right w:val="single" w:sz="6" w:space="0" w:color="BFBEBA"/>
            </w:tcBorders>
            <w:shd w:val="clear" w:color="auto" w:fill="F2F0EB"/>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b/>
                <w:bCs/>
              </w:rPr>
            </w:pPr>
            <w:r w:rsidRPr="00903D0D">
              <w:rPr>
                <w:rFonts w:ascii="Times New Roman" w:eastAsia="Times New Roman" w:hAnsi="Times New Roman" w:cs="Times New Roman"/>
                <w:b/>
                <w:bCs/>
              </w:rPr>
              <w:t>Donor Type</w:t>
            </w:r>
          </w:p>
        </w:tc>
        <w:tc>
          <w:tcPr>
            <w:tcW w:w="0" w:type="auto"/>
            <w:tcBorders>
              <w:top w:val="single" w:sz="6" w:space="0" w:color="BFBEBA"/>
              <w:left w:val="single" w:sz="6" w:space="0" w:color="BFBEBA"/>
              <w:bottom w:val="single" w:sz="6" w:space="0" w:color="BFBEBA"/>
              <w:right w:val="single" w:sz="6" w:space="0" w:color="BFBEBA"/>
            </w:tcBorders>
            <w:shd w:val="clear" w:color="auto" w:fill="F2F0EB"/>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b/>
                <w:bCs/>
              </w:rPr>
            </w:pPr>
            <w:r w:rsidRPr="00903D0D">
              <w:rPr>
                <w:rFonts w:ascii="Times New Roman" w:eastAsia="Times New Roman" w:hAnsi="Times New Roman" w:cs="Times New Roman"/>
                <w:b/>
                <w:bCs/>
              </w:rPr>
              <w:t>Donation Type</w:t>
            </w:r>
          </w:p>
        </w:tc>
        <w:tc>
          <w:tcPr>
            <w:tcW w:w="0" w:type="auto"/>
            <w:tcBorders>
              <w:top w:val="single" w:sz="6" w:space="0" w:color="BFBEBA"/>
              <w:left w:val="single" w:sz="6" w:space="0" w:color="BFBEBA"/>
              <w:bottom w:val="single" w:sz="6" w:space="0" w:color="BFBEBA"/>
              <w:right w:val="single" w:sz="6" w:space="0" w:color="BFBEBA"/>
            </w:tcBorders>
            <w:shd w:val="clear" w:color="auto" w:fill="F2F0EB"/>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b/>
                <w:bCs/>
              </w:rPr>
            </w:pPr>
            <w:r w:rsidRPr="00903D0D">
              <w:rPr>
                <w:rFonts w:ascii="Times New Roman" w:eastAsia="Times New Roman" w:hAnsi="Times New Roman" w:cs="Times New Roman"/>
                <w:b/>
                <w:bCs/>
              </w:rPr>
              <w:t>Minimum Eligible Donation</w:t>
            </w:r>
          </w:p>
        </w:tc>
        <w:tc>
          <w:tcPr>
            <w:tcW w:w="0" w:type="auto"/>
            <w:tcBorders>
              <w:top w:val="single" w:sz="6" w:space="0" w:color="BFBEBA"/>
              <w:left w:val="single" w:sz="6" w:space="0" w:color="BFBEBA"/>
              <w:bottom w:val="single" w:sz="6" w:space="0" w:color="BFBEBA"/>
              <w:right w:val="single" w:sz="6" w:space="0" w:color="BFBEBA"/>
            </w:tcBorders>
            <w:shd w:val="clear" w:color="auto" w:fill="F2F0EB"/>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b/>
                <w:bCs/>
              </w:rPr>
            </w:pPr>
            <w:r w:rsidRPr="00903D0D">
              <w:rPr>
                <w:rFonts w:ascii="Times New Roman" w:eastAsia="Times New Roman" w:hAnsi="Times New Roman" w:cs="Times New Roman"/>
                <w:b/>
                <w:bCs/>
              </w:rPr>
              <w:t>Value of Tax credit (65% of donation)</w:t>
            </w:r>
          </w:p>
        </w:tc>
        <w:tc>
          <w:tcPr>
            <w:tcW w:w="0" w:type="auto"/>
            <w:tcBorders>
              <w:top w:val="single" w:sz="6" w:space="0" w:color="BFBEBA"/>
              <w:left w:val="single" w:sz="6" w:space="0" w:color="BFBEBA"/>
              <w:bottom w:val="single" w:sz="6" w:space="0" w:color="BFBEBA"/>
              <w:right w:val="single" w:sz="6" w:space="0" w:color="BFBEBA"/>
            </w:tcBorders>
            <w:shd w:val="clear" w:color="auto" w:fill="F2F0EB"/>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b/>
                <w:bCs/>
              </w:rPr>
            </w:pPr>
            <w:r w:rsidRPr="00903D0D">
              <w:rPr>
                <w:rFonts w:ascii="Times New Roman" w:eastAsia="Times New Roman" w:hAnsi="Times New Roman" w:cs="Times New Roman"/>
                <w:b/>
                <w:bCs/>
              </w:rPr>
              <w:t>Maximum Donation Eligible for Tax Credit</w:t>
            </w:r>
          </w:p>
        </w:tc>
        <w:tc>
          <w:tcPr>
            <w:tcW w:w="0" w:type="auto"/>
            <w:tcBorders>
              <w:top w:val="single" w:sz="6" w:space="0" w:color="BFBEBA"/>
              <w:left w:val="single" w:sz="6" w:space="0" w:color="BFBEBA"/>
              <w:bottom w:val="single" w:sz="6" w:space="0" w:color="BFBEBA"/>
              <w:right w:val="single" w:sz="6" w:space="0" w:color="BFBEBA"/>
            </w:tcBorders>
            <w:shd w:val="clear" w:color="auto" w:fill="F2F0EB"/>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b/>
                <w:bCs/>
              </w:rPr>
            </w:pPr>
            <w:r w:rsidRPr="00903D0D">
              <w:rPr>
                <w:rFonts w:ascii="Times New Roman" w:eastAsia="Times New Roman" w:hAnsi="Times New Roman" w:cs="Times New Roman"/>
                <w:b/>
                <w:bCs/>
              </w:rPr>
              <w:t>Maximum Tax credit per taxable year</w:t>
            </w:r>
          </w:p>
        </w:tc>
      </w:tr>
      <w:tr w:rsidR="00903D0D" w:rsidRPr="00903D0D" w:rsidTr="00E1634F">
        <w:trPr>
          <w:trHeight w:val="250"/>
        </w:trPr>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Individual</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Cash</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$500</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$325</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$125,000</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$62,500</w:t>
            </w:r>
          </w:p>
        </w:tc>
      </w:tr>
      <w:tr w:rsidR="00903D0D" w:rsidRPr="00903D0D" w:rsidTr="00E1634F">
        <w:trPr>
          <w:trHeight w:val="258"/>
        </w:trPr>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Corporation</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Cash</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$616</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$400</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N/A</w:t>
            </w:r>
          </w:p>
        </w:tc>
        <w:tc>
          <w:tcPr>
            <w:tcW w:w="0" w:type="auto"/>
            <w:tcBorders>
              <w:top w:val="single" w:sz="6" w:space="0" w:color="BFBEBA"/>
              <w:left w:val="single" w:sz="6" w:space="0" w:color="BFBEBA"/>
              <w:bottom w:val="single" w:sz="6" w:space="0" w:color="BFBEBA"/>
              <w:right w:val="single" w:sz="6" w:space="0" w:color="BFBEBA"/>
            </w:tcBorders>
            <w:tcMar>
              <w:top w:w="75" w:type="dxa"/>
              <w:left w:w="90" w:type="dxa"/>
              <w:bottom w:w="75" w:type="dxa"/>
              <w:right w:w="90" w:type="dxa"/>
            </w:tcMar>
            <w:hideMark/>
          </w:tcPr>
          <w:p w:rsidR="00903D0D" w:rsidRPr="00903D0D" w:rsidRDefault="00903D0D" w:rsidP="00903D0D">
            <w:pPr>
              <w:spacing w:after="0" w:line="240" w:lineRule="auto"/>
              <w:rPr>
                <w:rFonts w:ascii="Times New Roman" w:eastAsia="Times New Roman" w:hAnsi="Times New Roman" w:cs="Times New Roman"/>
              </w:rPr>
            </w:pPr>
            <w:r w:rsidRPr="00903D0D">
              <w:rPr>
                <w:rFonts w:ascii="Times New Roman" w:eastAsia="Times New Roman" w:hAnsi="Times New Roman" w:cs="Times New Roman"/>
              </w:rPr>
              <w:t>N/A</w:t>
            </w:r>
          </w:p>
        </w:tc>
      </w:tr>
    </w:tbl>
    <w:p w:rsidR="007C7D31" w:rsidRDefault="007C7D31" w:rsidP="00903D0D">
      <w:pPr>
        <w:shd w:val="clear" w:color="auto" w:fill="FFFFFF"/>
        <w:spacing w:after="0" w:line="307" w:lineRule="atLeast"/>
        <w:rPr>
          <w:rFonts w:ascii="Verdana" w:eastAsia="Times New Roman" w:hAnsi="Verdana" w:cs="Times New Roman"/>
          <w:b/>
          <w:bCs/>
          <w:color w:val="111111"/>
          <w:sz w:val="19"/>
          <w:szCs w:val="19"/>
        </w:rPr>
      </w:pPr>
    </w:p>
    <w:p w:rsidR="00903D0D" w:rsidRPr="00903D0D" w:rsidRDefault="00903D0D" w:rsidP="00903D0D">
      <w:pPr>
        <w:shd w:val="clear" w:color="auto" w:fill="FFFFFF"/>
        <w:spacing w:after="0" w:line="307" w:lineRule="atLeast"/>
        <w:rPr>
          <w:rFonts w:ascii="Verdana" w:eastAsia="Times New Roman" w:hAnsi="Verdana" w:cs="Times New Roman"/>
          <w:color w:val="111111"/>
          <w:sz w:val="19"/>
          <w:szCs w:val="19"/>
        </w:rPr>
      </w:pPr>
      <w:r w:rsidRPr="00903D0D">
        <w:rPr>
          <w:rFonts w:ascii="Verdana" w:eastAsia="Times New Roman" w:hAnsi="Verdana" w:cs="Times New Roman"/>
          <w:b/>
          <w:bCs/>
          <w:color w:val="111111"/>
          <w:sz w:val="19"/>
          <w:szCs w:val="19"/>
        </w:rPr>
        <w:t>Please Note:</w:t>
      </w:r>
    </w:p>
    <w:p w:rsidR="00903D0D" w:rsidRPr="00903D0D" w:rsidRDefault="00903D0D" w:rsidP="00903D0D">
      <w:pPr>
        <w:numPr>
          <w:ilvl w:val="0"/>
          <w:numId w:val="1"/>
        </w:numPr>
        <w:shd w:val="clear" w:color="auto" w:fill="FFFFFF"/>
        <w:spacing w:after="0" w:line="288" w:lineRule="atLeast"/>
        <w:ind w:left="330"/>
        <w:rPr>
          <w:rFonts w:ascii="Verdana" w:eastAsia="Times New Roman" w:hAnsi="Verdana" w:cs="Times New Roman"/>
          <w:color w:val="111111"/>
          <w:sz w:val="19"/>
          <w:szCs w:val="19"/>
        </w:rPr>
      </w:pPr>
      <w:r w:rsidRPr="00903D0D">
        <w:rPr>
          <w:rFonts w:ascii="Verdana" w:eastAsia="Times New Roman" w:hAnsi="Verdana" w:cs="Times New Roman"/>
          <w:b/>
          <w:bCs/>
          <w:color w:val="111111"/>
          <w:sz w:val="19"/>
          <w:szCs w:val="19"/>
        </w:rPr>
        <w:t>Donations </w:t>
      </w:r>
      <w:r w:rsidRPr="00903D0D">
        <w:rPr>
          <w:rFonts w:ascii="Verdana" w:eastAsia="Times New Roman" w:hAnsi="Verdana" w:cs="Times New Roman"/>
          <w:b/>
          <w:bCs/>
          <w:color w:val="111111"/>
          <w:sz w:val="19"/>
          <w:szCs w:val="19"/>
          <w:u w:val="single"/>
        </w:rPr>
        <w:t>Must Be Pre-approved</w:t>
      </w:r>
      <w:r w:rsidRPr="00903D0D">
        <w:rPr>
          <w:rFonts w:ascii="Verdana" w:eastAsia="Times New Roman" w:hAnsi="Verdana" w:cs="Times New Roman"/>
          <w:color w:val="111111"/>
          <w:sz w:val="19"/>
          <w:szCs w:val="19"/>
        </w:rPr>
        <w:t> in order to receive NAP tax credit. Contact </w:t>
      </w:r>
      <w:hyperlink r:id="rId5" w:history="1">
        <w:r w:rsidR="007C7D31" w:rsidRPr="007C7D31">
          <w:rPr>
            <w:rStyle w:val="Hyperlink"/>
            <w:rFonts w:ascii="Verdana" w:eastAsia="Times New Roman" w:hAnsi="Verdana" w:cs="Times New Roman"/>
            <w:i/>
            <w:iCs/>
            <w:sz w:val="19"/>
            <w:szCs w:val="19"/>
          </w:rPr>
          <w:t>Tara</w:t>
        </w:r>
        <w:r w:rsidR="007C7D31" w:rsidRPr="007C7D31">
          <w:rPr>
            <w:rStyle w:val="Hyperlink"/>
            <w:rFonts w:ascii="Verdana" w:eastAsia="Times New Roman" w:hAnsi="Verdana" w:cs="Times New Roman"/>
            <w:i/>
            <w:sz w:val="19"/>
            <w:szCs w:val="19"/>
          </w:rPr>
          <w:t xml:space="preserve"> Quinn</w:t>
        </w:r>
      </w:hyperlink>
      <w:r w:rsidR="007C7D31">
        <w:rPr>
          <w:rFonts w:ascii="Verdana" w:eastAsia="Times New Roman" w:hAnsi="Verdana" w:cs="Times New Roman"/>
          <w:color w:val="111111"/>
          <w:sz w:val="19"/>
          <w:szCs w:val="19"/>
        </w:rPr>
        <w:t> at (804) 523-2181</w:t>
      </w:r>
      <w:r w:rsidRPr="00903D0D">
        <w:rPr>
          <w:rFonts w:ascii="Verdana" w:eastAsia="Times New Roman" w:hAnsi="Verdana" w:cs="Times New Roman"/>
          <w:color w:val="111111"/>
          <w:sz w:val="19"/>
          <w:szCs w:val="19"/>
        </w:rPr>
        <w:t xml:space="preserve"> for additional information prior to making your gift.</w:t>
      </w:r>
    </w:p>
    <w:p w:rsidR="00903D0D" w:rsidRPr="00903D0D" w:rsidRDefault="00903D0D" w:rsidP="00903D0D">
      <w:pPr>
        <w:numPr>
          <w:ilvl w:val="0"/>
          <w:numId w:val="1"/>
        </w:numPr>
        <w:shd w:val="clear" w:color="auto" w:fill="FFFFFF"/>
        <w:spacing w:after="0" w:line="288" w:lineRule="atLeast"/>
        <w:ind w:left="330"/>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All donations must be made </w:t>
      </w:r>
      <w:r w:rsidRPr="00903D0D">
        <w:rPr>
          <w:rFonts w:ascii="Verdana" w:eastAsia="Times New Roman" w:hAnsi="Verdana" w:cs="Times New Roman"/>
          <w:b/>
          <w:bCs/>
          <w:color w:val="111111"/>
          <w:sz w:val="19"/>
          <w:szCs w:val="19"/>
        </w:rPr>
        <w:t>directly</w:t>
      </w:r>
      <w:r w:rsidRPr="00903D0D">
        <w:rPr>
          <w:rFonts w:ascii="Verdana" w:eastAsia="Times New Roman" w:hAnsi="Verdana" w:cs="Times New Roman"/>
          <w:color w:val="111111"/>
          <w:sz w:val="19"/>
          <w:szCs w:val="19"/>
        </w:rPr>
        <w:t xml:space="preserve"> to </w:t>
      </w:r>
      <w:r w:rsidR="007C7D31">
        <w:rPr>
          <w:rFonts w:ascii="Verdana" w:eastAsia="Times New Roman" w:hAnsi="Verdana" w:cs="Times New Roman"/>
          <w:color w:val="111111"/>
          <w:sz w:val="19"/>
          <w:szCs w:val="19"/>
        </w:rPr>
        <w:t>the VDAF</w:t>
      </w:r>
      <w:r w:rsidRPr="00903D0D">
        <w:rPr>
          <w:rFonts w:ascii="Verdana" w:eastAsia="Times New Roman" w:hAnsi="Verdana" w:cs="Times New Roman"/>
          <w:color w:val="111111"/>
          <w:sz w:val="19"/>
          <w:szCs w:val="19"/>
        </w:rPr>
        <w:t xml:space="preserve"> with no strings attached and without any conditions or expectations of monetary or other benefits received from </w:t>
      </w:r>
      <w:r w:rsidR="007C7D31">
        <w:rPr>
          <w:rFonts w:ascii="Verdana" w:eastAsia="Times New Roman" w:hAnsi="Verdana" w:cs="Times New Roman"/>
          <w:color w:val="111111"/>
          <w:sz w:val="19"/>
          <w:szCs w:val="19"/>
        </w:rPr>
        <w:t>the VDAF</w:t>
      </w:r>
      <w:r w:rsidRPr="00903D0D">
        <w:rPr>
          <w:rFonts w:ascii="Verdana" w:eastAsia="Times New Roman" w:hAnsi="Verdana" w:cs="Times New Roman"/>
          <w:color w:val="111111"/>
          <w:sz w:val="19"/>
          <w:szCs w:val="19"/>
        </w:rPr>
        <w:t>.</w:t>
      </w:r>
    </w:p>
    <w:p w:rsidR="00903D0D" w:rsidRPr="00903D0D" w:rsidRDefault="00903D0D" w:rsidP="00903D0D">
      <w:pPr>
        <w:numPr>
          <w:ilvl w:val="0"/>
          <w:numId w:val="1"/>
        </w:numPr>
        <w:shd w:val="clear" w:color="auto" w:fill="FFFFFF"/>
        <w:spacing w:after="0" w:line="288" w:lineRule="atLeast"/>
        <w:ind w:left="330"/>
        <w:rPr>
          <w:rFonts w:ascii="Verdana" w:eastAsia="Times New Roman" w:hAnsi="Verdana" w:cs="Times New Roman"/>
          <w:color w:val="111111"/>
          <w:sz w:val="19"/>
          <w:szCs w:val="19"/>
        </w:rPr>
      </w:pPr>
      <w:r w:rsidRPr="00903D0D">
        <w:rPr>
          <w:rFonts w:ascii="Verdana" w:eastAsia="Times New Roman" w:hAnsi="Verdana" w:cs="Times New Roman"/>
          <w:b/>
          <w:bCs/>
          <w:color w:val="111111"/>
          <w:sz w:val="19"/>
          <w:szCs w:val="19"/>
        </w:rPr>
        <w:t>Online donations </w:t>
      </w:r>
      <w:r w:rsidRPr="00903D0D">
        <w:rPr>
          <w:rFonts w:ascii="Verdana" w:eastAsia="Times New Roman" w:hAnsi="Verdana" w:cs="Times New Roman"/>
          <w:color w:val="111111"/>
          <w:sz w:val="19"/>
          <w:szCs w:val="19"/>
        </w:rPr>
        <w:t xml:space="preserve">are only eligible for state NAP tax credits if you donate through the </w:t>
      </w:r>
      <w:r w:rsidR="007C7D31">
        <w:rPr>
          <w:rFonts w:ascii="Verdana" w:eastAsia="Times New Roman" w:hAnsi="Verdana" w:cs="Times New Roman"/>
          <w:color w:val="111111"/>
          <w:sz w:val="19"/>
          <w:szCs w:val="19"/>
        </w:rPr>
        <w:t>VDAF</w:t>
      </w:r>
      <w:r w:rsidRPr="00903D0D">
        <w:rPr>
          <w:rFonts w:ascii="Verdana" w:eastAsia="Times New Roman" w:hAnsi="Verdana" w:cs="Times New Roman"/>
          <w:color w:val="111111"/>
          <w:sz w:val="19"/>
          <w:szCs w:val="19"/>
        </w:rPr>
        <w:t xml:space="preserve"> website </w:t>
      </w:r>
      <w:hyperlink r:id="rId6" w:tgtFrame="_blank" w:history="1">
        <w:r w:rsidRPr="00903D0D">
          <w:rPr>
            <w:rFonts w:ascii="Verdana" w:eastAsia="Times New Roman" w:hAnsi="Verdana" w:cs="Times New Roman"/>
            <w:i/>
            <w:iCs/>
            <w:color w:val="4C82C3"/>
            <w:sz w:val="19"/>
            <w:szCs w:val="19"/>
            <w:u w:val="single"/>
          </w:rPr>
          <w:t>here</w:t>
        </w:r>
      </w:hyperlink>
      <w:r w:rsidRPr="00903D0D">
        <w:rPr>
          <w:rFonts w:ascii="Verdana" w:eastAsia="Times New Roman" w:hAnsi="Verdana" w:cs="Times New Roman"/>
          <w:color w:val="111111"/>
          <w:sz w:val="19"/>
          <w:szCs w:val="19"/>
        </w:rPr>
        <w:t>.</w:t>
      </w:r>
    </w:p>
    <w:p w:rsidR="007C7D31" w:rsidRDefault="00903D0D" w:rsidP="007178AA">
      <w:pPr>
        <w:numPr>
          <w:ilvl w:val="1"/>
          <w:numId w:val="1"/>
        </w:numPr>
        <w:shd w:val="clear" w:color="auto" w:fill="FFFFFF"/>
        <w:spacing w:after="120" w:line="288" w:lineRule="atLeast"/>
        <w:ind w:left="660"/>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 xml:space="preserve">Donating online, versus mailing your donation to </w:t>
      </w:r>
      <w:r w:rsidR="007C7D31" w:rsidRPr="007C7D31">
        <w:rPr>
          <w:rFonts w:ascii="Verdana" w:eastAsia="Times New Roman" w:hAnsi="Verdana" w:cs="Times New Roman"/>
          <w:color w:val="111111"/>
          <w:sz w:val="19"/>
          <w:szCs w:val="19"/>
        </w:rPr>
        <w:t>the VDAF</w:t>
      </w:r>
      <w:r w:rsidRPr="00903D0D">
        <w:rPr>
          <w:rFonts w:ascii="Verdana" w:eastAsia="Times New Roman" w:hAnsi="Verdana" w:cs="Times New Roman"/>
          <w:color w:val="111111"/>
          <w:sz w:val="19"/>
          <w:szCs w:val="19"/>
        </w:rPr>
        <w:t xml:space="preserve">, does incur a fee. As such, your NAP tax credit for online contributions will be for the total amount of your donation less </w:t>
      </w:r>
      <w:r w:rsidR="007C7D31" w:rsidRPr="007C7D31">
        <w:rPr>
          <w:rFonts w:ascii="Verdana" w:eastAsia="Times New Roman" w:hAnsi="Verdana" w:cs="Times New Roman"/>
          <w:color w:val="111111"/>
          <w:sz w:val="19"/>
          <w:szCs w:val="19"/>
        </w:rPr>
        <w:t>fees charged by our online processor</w:t>
      </w:r>
      <w:r w:rsidRPr="00903D0D">
        <w:rPr>
          <w:rFonts w:ascii="Verdana" w:eastAsia="Times New Roman" w:hAnsi="Verdana" w:cs="Times New Roman"/>
          <w:color w:val="111111"/>
          <w:sz w:val="19"/>
          <w:szCs w:val="19"/>
        </w:rPr>
        <w:t xml:space="preserve">. </w:t>
      </w:r>
    </w:p>
    <w:p w:rsidR="00903D0D" w:rsidRPr="00903D0D" w:rsidRDefault="00903D0D" w:rsidP="007178AA">
      <w:pPr>
        <w:numPr>
          <w:ilvl w:val="1"/>
          <w:numId w:val="1"/>
        </w:numPr>
        <w:shd w:val="clear" w:color="auto" w:fill="FFFFFF"/>
        <w:spacing w:after="120" w:line="288" w:lineRule="atLeast"/>
        <w:ind w:left="660"/>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 xml:space="preserve">If you would like </w:t>
      </w:r>
      <w:r w:rsidR="007C7D31" w:rsidRPr="007C7D31">
        <w:rPr>
          <w:rFonts w:ascii="Verdana" w:eastAsia="Times New Roman" w:hAnsi="Verdana" w:cs="Times New Roman"/>
          <w:color w:val="111111"/>
          <w:sz w:val="19"/>
          <w:szCs w:val="19"/>
        </w:rPr>
        <w:t>the VDAF</w:t>
      </w:r>
      <w:r w:rsidRPr="00903D0D">
        <w:rPr>
          <w:rFonts w:ascii="Verdana" w:eastAsia="Times New Roman" w:hAnsi="Verdana" w:cs="Times New Roman"/>
          <w:color w:val="111111"/>
          <w:sz w:val="19"/>
          <w:szCs w:val="19"/>
        </w:rPr>
        <w:t xml:space="preserve"> to receive the full $1,000 donation, you will need to adjust the donation amount </w:t>
      </w:r>
      <w:r w:rsidR="007C7D31">
        <w:rPr>
          <w:rFonts w:ascii="Verdana" w:eastAsia="Times New Roman" w:hAnsi="Verdana" w:cs="Times New Roman"/>
          <w:color w:val="111111"/>
          <w:sz w:val="19"/>
          <w:szCs w:val="19"/>
        </w:rPr>
        <w:t>as suggest</w:t>
      </w:r>
      <w:r w:rsidR="00697CE9">
        <w:rPr>
          <w:rFonts w:ascii="Verdana" w:eastAsia="Times New Roman" w:hAnsi="Verdana" w:cs="Times New Roman"/>
          <w:color w:val="111111"/>
          <w:sz w:val="19"/>
          <w:szCs w:val="19"/>
        </w:rPr>
        <w:t>ed</w:t>
      </w:r>
      <w:r w:rsidR="007C7D31">
        <w:rPr>
          <w:rFonts w:ascii="Verdana" w:eastAsia="Times New Roman" w:hAnsi="Verdana" w:cs="Times New Roman"/>
          <w:color w:val="111111"/>
          <w:sz w:val="19"/>
          <w:szCs w:val="19"/>
        </w:rPr>
        <w:t xml:space="preserve"> via the website.</w:t>
      </w:r>
    </w:p>
    <w:p w:rsidR="00903D0D" w:rsidRPr="00903D0D" w:rsidRDefault="00903D0D" w:rsidP="00903D0D">
      <w:pPr>
        <w:numPr>
          <w:ilvl w:val="1"/>
          <w:numId w:val="1"/>
        </w:numPr>
        <w:shd w:val="clear" w:color="auto" w:fill="FFFFFF"/>
        <w:spacing w:after="120" w:line="288" w:lineRule="atLeast"/>
        <w:ind w:left="660"/>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The minimum eligible donation value must be met after deducting the online gift processing fee in order for the donor to qualify for NAP tax credits.</w:t>
      </w:r>
    </w:p>
    <w:p w:rsidR="00903D0D" w:rsidRPr="00903D0D" w:rsidRDefault="00903D0D" w:rsidP="00903D0D">
      <w:pPr>
        <w:numPr>
          <w:ilvl w:val="0"/>
          <w:numId w:val="1"/>
        </w:numPr>
        <w:shd w:val="clear" w:color="auto" w:fill="FFFFFF"/>
        <w:spacing w:after="0" w:line="288" w:lineRule="atLeast"/>
        <w:ind w:left="330"/>
        <w:rPr>
          <w:rFonts w:ascii="Verdana" w:eastAsia="Times New Roman" w:hAnsi="Verdana" w:cs="Times New Roman"/>
          <w:color w:val="111111"/>
          <w:sz w:val="19"/>
          <w:szCs w:val="19"/>
        </w:rPr>
      </w:pPr>
      <w:r w:rsidRPr="00903D0D">
        <w:rPr>
          <w:rFonts w:ascii="Verdana" w:eastAsia="Times New Roman" w:hAnsi="Verdana" w:cs="Times New Roman"/>
          <w:b/>
          <w:bCs/>
          <w:color w:val="111111"/>
          <w:sz w:val="19"/>
          <w:szCs w:val="19"/>
        </w:rPr>
        <w:t>Mail</w:t>
      </w:r>
      <w:r w:rsidRPr="00903D0D">
        <w:rPr>
          <w:rFonts w:ascii="Verdana" w:eastAsia="Times New Roman" w:hAnsi="Verdana" w:cs="Times New Roman"/>
          <w:color w:val="111111"/>
          <w:sz w:val="19"/>
          <w:szCs w:val="19"/>
        </w:rPr>
        <w:t xml:space="preserve"> your contribution to: Virginia </w:t>
      </w:r>
      <w:r w:rsidR="007C7D31">
        <w:rPr>
          <w:rFonts w:ascii="Verdana" w:eastAsia="Times New Roman" w:hAnsi="Verdana" w:cs="Times New Roman"/>
          <w:color w:val="111111"/>
          <w:sz w:val="19"/>
          <w:szCs w:val="19"/>
        </w:rPr>
        <w:t>Dental Association</w:t>
      </w:r>
      <w:r w:rsidRPr="00903D0D">
        <w:rPr>
          <w:rFonts w:ascii="Verdana" w:eastAsia="Times New Roman" w:hAnsi="Verdana" w:cs="Times New Roman"/>
          <w:color w:val="111111"/>
          <w:sz w:val="19"/>
          <w:szCs w:val="19"/>
        </w:rPr>
        <w:t xml:space="preserve"> Foundation, </w:t>
      </w:r>
      <w:r w:rsidR="007C7D31">
        <w:rPr>
          <w:rFonts w:ascii="Verdana" w:eastAsia="Times New Roman" w:hAnsi="Verdana" w:cs="Times New Roman"/>
          <w:color w:val="111111"/>
          <w:sz w:val="19"/>
          <w:szCs w:val="19"/>
        </w:rPr>
        <w:t xml:space="preserve">3460 </w:t>
      </w:r>
      <w:proofErr w:type="spellStart"/>
      <w:r w:rsidR="007C7D31">
        <w:rPr>
          <w:rFonts w:ascii="Verdana" w:eastAsia="Times New Roman" w:hAnsi="Verdana" w:cs="Times New Roman"/>
          <w:color w:val="111111"/>
          <w:sz w:val="19"/>
          <w:szCs w:val="19"/>
        </w:rPr>
        <w:t>Mayland</w:t>
      </w:r>
      <w:proofErr w:type="spellEnd"/>
      <w:r w:rsidR="007C7D31">
        <w:rPr>
          <w:rFonts w:ascii="Verdana" w:eastAsia="Times New Roman" w:hAnsi="Verdana" w:cs="Times New Roman"/>
          <w:color w:val="111111"/>
          <w:sz w:val="19"/>
          <w:szCs w:val="19"/>
        </w:rPr>
        <w:t xml:space="preserve"> Court, Suite 110, Richmond, VA 23233.</w:t>
      </w:r>
    </w:p>
    <w:p w:rsidR="00903D0D" w:rsidRPr="00903D0D" w:rsidRDefault="00903D0D" w:rsidP="007C7D31">
      <w:pPr>
        <w:numPr>
          <w:ilvl w:val="0"/>
          <w:numId w:val="1"/>
        </w:numPr>
        <w:shd w:val="clear" w:color="auto" w:fill="FFFFFF"/>
        <w:spacing w:after="120" w:line="288" w:lineRule="atLeast"/>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 xml:space="preserve">Non-cash business donations (stock, merchandise, real estate, leased space, </w:t>
      </w:r>
      <w:r w:rsidR="00CB2D6F">
        <w:rPr>
          <w:rFonts w:ascii="Verdana" w:eastAsia="Times New Roman" w:hAnsi="Verdana" w:cs="Times New Roman"/>
          <w:color w:val="111111"/>
          <w:sz w:val="19"/>
          <w:szCs w:val="19"/>
        </w:rPr>
        <w:t xml:space="preserve">and </w:t>
      </w:r>
      <w:r w:rsidRPr="00903D0D">
        <w:rPr>
          <w:rFonts w:ascii="Verdana" w:eastAsia="Times New Roman" w:hAnsi="Verdana" w:cs="Times New Roman"/>
          <w:color w:val="111111"/>
          <w:sz w:val="19"/>
          <w:szCs w:val="19"/>
        </w:rPr>
        <w:t xml:space="preserve">certain professional services) must pre-approved by </w:t>
      </w:r>
      <w:r w:rsidR="007C7D31" w:rsidRPr="007C7D31">
        <w:rPr>
          <w:rFonts w:ascii="Verdana" w:eastAsia="Times New Roman" w:hAnsi="Verdana" w:cs="Times New Roman"/>
          <w:color w:val="111111"/>
          <w:sz w:val="19"/>
          <w:szCs w:val="19"/>
        </w:rPr>
        <w:t>the VDAF</w:t>
      </w:r>
      <w:r w:rsidRPr="00903D0D">
        <w:rPr>
          <w:rFonts w:ascii="Verdana" w:eastAsia="Times New Roman" w:hAnsi="Verdana" w:cs="Times New Roman"/>
          <w:color w:val="111111"/>
          <w:sz w:val="19"/>
          <w:szCs w:val="19"/>
        </w:rPr>
        <w:t xml:space="preserve"> and be valued in accordance with NAP and IRS standards.</w:t>
      </w:r>
    </w:p>
    <w:p w:rsidR="00903D0D" w:rsidRPr="00903D0D" w:rsidRDefault="00903D0D" w:rsidP="00903D0D">
      <w:pPr>
        <w:numPr>
          <w:ilvl w:val="0"/>
          <w:numId w:val="1"/>
        </w:numPr>
        <w:shd w:val="clear" w:color="auto" w:fill="FFFFFF"/>
        <w:spacing w:after="0" w:line="288" w:lineRule="atLeast"/>
        <w:ind w:left="330"/>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The </w:t>
      </w:r>
      <w:r w:rsidRPr="00903D0D">
        <w:rPr>
          <w:rFonts w:ascii="Verdana" w:eastAsia="Times New Roman" w:hAnsi="Verdana" w:cs="Times New Roman"/>
          <w:b/>
          <w:bCs/>
          <w:color w:val="111111"/>
          <w:sz w:val="19"/>
          <w:szCs w:val="19"/>
        </w:rPr>
        <w:t>value of NAP tax credits</w:t>
      </w:r>
      <w:r w:rsidRPr="00903D0D">
        <w:rPr>
          <w:rFonts w:ascii="Verdana" w:eastAsia="Times New Roman" w:hAnsi="Verdana" w:cs="Times New Roman"/>
          <w:color w:val="111111"/>
          <w:sz w:val="19"/>
          <w:szCs w:val="19"/>
        </w:rPr>
        <w:t> is computed based on 65% of all donations </w:t>
      </w:r>
      <w:r w:rsidRPr="00903D0D">
        <w:rPr>
          <w:rFonts w:ascii="Verdana" w:eastAsia="Times New Roman" w:hAnsi="Verdana" w:cs="Times New Roman"/>
          <w:i/>
          <w:iCs/>
          <w:color w:val="111111"/>
          <w:sz w:val="19"/>
          <w:szCs w:val="19"/>
        </w:rPr>
        <w:t>(up to maximum)</w:t>
      </w:r>
      <w:r w:rsidRPr="00903D0D">
        <w:rPr>
          <w:rFonts w:ascii="Verdana" w:eastAsia="Times New Roman" w:hAnsi="Verdana" w:cs="Times New Roman"/>
          <w:color w:val="111111"/>
          <w:sz w:val="19"/>
          <w:szCs w:val="19"/>
        </w:rPr>
        <w:t> received between either July 1 through December 30 OR January 1 through June 30 of each calendar year.</w:t>
      </w:r>
    </w:p>
    <w:p w:rsidR="00C85BB8" w:rsidRDefault="00C85BB8" w:rsidP="00903D0D">
      <w:pPr>
        <w:shd w:val="clear" w:color="auto" w:fill="FFFFFF"/>
        <w:spacing w:after="0" w:line="307" w:lineRule="atLeast"/>
        <w:rPr>
          <w:rFonts w:ascii="Verdana" w:eastAsia="Times New Roman" w:hAnsi="Verdana" w:cs="Times New Roman"/>
          <w:b/>
          <w:bCs/>
          <w:color w:val="111111"/>
          <w:sz w:val="19"/>
          <w:szCs w:val="19"/>
        </w:rPr>
      </w:pPr>
    </w:p>
    <w:p w:rsidR="00903D0D" w:rsidRPr="00903D0D" w:rsidRDefault="00903D0D" w:rsidP="00903D0D">
      <w:pPr>
        <w:shd w:val="clear" w:color="auto" w:fill="FFFFFF"/>
        <w:spacing w:after="0" w:line="307" w:lineRule="atLeast"/>
        <w:rPr>
          <w:rFonts w:ascii="Verdana" w:eastAsia="Times New Roman" w:hAnsi="Verdana" w:cs="Times New Roman"/>
          <w:color w:val="111111"/>
          <w:sz w:val="19"/>
          <w:szCs w:val="19"/>
        </w:rPr>
      </w:pPr>
      <w:r w:rsidRPr="00903D0D">
        <w:rPr>
          <w:rFonts w:ascii="Verdana" w:eastAsia="Times New Roman" w:hAnsi="Verdana" w:cs="Times New Roman"/>
          <w:b/>
          <w:bCs/>
          <w:color w:val="111111"/>
          <w:sz w:val="19"/>
          <w:szCs w:val="19"/>
        </w:rPr>
        <w:t>Tax Credit Application Process</w:t>
      </w:r>
    </w:p>
    <w:p w:rsidR="00903D0D" w:rsidRPr="00903D0D" w:rsidRDefault="00903D0D" w:rsidP="00903D0D">
      <w:pPr>
        <w:shd w:val="clear" w:color="auto" w:fill="FFFFFF"/>
        <w:spacing w:after="0" w:line="307" w:lineRule="atLeast"/>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 xml:space="preserve">1)  The Virginia </w:t>
      </w:r>
      <w:r w:rsidR="007C7D31">
        <w:rPr>
          <w:rFonts w:ascii="Verdana" w:eastAsia="Times New Roman" w:hAnsi="Verdana" w:cs="Times New Roman"/>
          <w:color w:val="111111"/>
          <w:sz w:val="19"/>
          <w:szCs w:val="19"/>
        </w:rPr>
        <w:t>Dental Association</w:t>
      </w:r>
      <w:r w:rsidRPr="00903D0D">
        <w:rPr>
          <w:rFonts w:ascii="Verdana" w:eastAsia="Times New Roman" w:hAnsi="Verdana" w:cs="Times New Roman"/>
          <w:color w:val="111111"/>
          <w:sz w:val="19"/>
          <w:szCs w:val="19"/>
        </w:rPr>
        <w:t xml:space="preserve"> Foundation (</w:t>
      </w:r>
      <w:r w:rsidR="007C7D31" w:rsidRPr="009F5BD3">
        <w:rPr>
          <w:rFonts w:ascii="Verdana" w:eastAsia="Times New Roman" w:hAnsi="Verdana" w:cs="Times New Roman"/>
          <w:iCs/>
          <w:color w:val="111111"/>
          <w:sz w:val="19"/>
          <w:szCs w:val="19"/>
        </w:rPr>
        <w:t>VDAF</w:t>
      </w:r>
      <w:r w:rsidRPr="00903D0D">
        <w:rPr>
          <w:rFonts w:ascii="Verdana" w:eastAsia="Times New Roman" w:hAnsi="Verdana" w:cs="Times New Roman"/>
          <w:color w:val="111111"/>
          <w:sz w:val="19"/>
          <w:szCs w:val="19"/>
        </w:rPr>
        <w:t>) receives your donation. The Eligible Tax Credit is valued at 65% of the donation subject to the following criteria:</w:t>
      </w:r>
    </w:p>
    <w:p w:rsidR="00903D0D" w:rsidRPr="00903D0D" w:rsidRDefault="00903D0D" w:rsidP="00903D0D">
      <w:pPr>
        <w:numPr>
          <w:ilvl w:val="0"/>
          <w:numId w:val="2"/>
        </w:numPr>
        <w:shd w:val="clear" w:color="auto" w:fill="FFFFFF"/>
        <w:spacing w:after="120" w:line="288" w:lineRule="atLeast"/>
        <w:ind w:left="330"/>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Individual Donor – $500 minimum cash donation</w:t>
      </w:r>
    </w:p>
    <w:p w:rsidR="00903D0D" w:rsidRPr="00903D0D" w:rsidRDefault="00903D0D" w:rsidP="00903D0D">
      <w:pPr>
        <w:numPr>
          <w:ilvl w:val="0"/>
          <w:numId w:val="2"/>
        </w:numPr>
        <w:shd w:val="clear" w:color="auto" w:fill="FFFFFF"/>
        <w:spacing w:after="120" w:line="288" w:lineRule="atLeast"/>
        <w:ind w:left="330"/>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lastRenderedPageBreak/>
        <w:t>Business Donor – $616 minimum donation</w:t>
      </w:r>
    </w:p>
    <w:p w:rsidR="00903D0D" w:rsidRPr="00903D0D" w:rsidRDefault="00903D0D" w:rsidP="00903D0D">
      <w:pPr>
        <w:shd w:val="clear" w:color="auto" w:fill="FFFFFF"/>
        <w:spacing w:after="0" w:line="307" w:lineRule="atLeast"/>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2)  </w:t>
      </w:r>
      <w:r w:rsidR="007C7D31">
        <w:rPr>
          <w:rFonts w:ascii="Verdana" w:eastAsia="Times New Roman" w:hAnsi="Verdana" w:cs="Times New Roman"/>
          <w:color w:val="111111"/>
          <w:sz w:val="19"/>
          <w:szCs w:val="19"/>
        </w:rPr>
        <w:t>T</w:t>
      </w:r>
      <w:r w:rsidR="007C7D31" w:rsidRPr="007C7D31">
        <w:rPr>
          <w:rFonts w:ascii="Verdana" w:eastAsia="Times New Roman" w:hAnsi="Verdana" w:cs="Times New Roman"/>
          <w:color w:val="111111"/>
          <w:sz w:val="19"/>
          <w:szCs w:val="19"/>
        </w:rPr>
        <w:t>he VDAF</w:t>
      </w:r>
      <w:r w:rsidRPr="00903D0D">
        <w:rPr>
          <w:rFonts w:ascii="Verdana" w:eastAsia="Times New Roman" w:hAnsi="Verdana" w:cs="Times New Roman"/>
          <w:color w:val="111111"/>
          <w:sz w:val="19"/>
          <w:szCs w:val="19"/>
        </w:rPr>
        <w:t xml:space="preserve"> sends the donor the NAP Contribution Notification Form </w:t>
      </w:r>
      <w:r w:rsidRPr="00903D0D">
        <w:rPr>
          <w:rFonts w:ascii="Verdana" w:eastAsia="Times New Roman" w:hAnsi="Verdana" w:cs="Times New Roman"/>
          <w:iCs/>
          <w:color w:val="111111"/>
          <w:sz w:val="19"/>
          <w:szCs w:val="19"/>
        </w:rPr>
        <w:t>(CNF)</w:t>
      </w:r>
      <w:r w:rsidRPr="00903D0D">
        <w:rPr>
          <w:rFonts w:ascii="Verdana" w:eastAsia="Times New Roman" w:hAnsi="Verdana" w:cs="Times New Roman"/>
          <w:color w:val="111111"/>
          <w:sz w:val="19"/>
          <w:szCs w:val="19"/>
        </w:rPr>
        <w:t> and other forms, if required.</w:t>
      </w:r>
    </w:p>
    <w:p w:rsidR="00903D0D" w:rsidRPr="00903D0D" w:rsidRDefault="00903D0D" w:rsidP="00903D0D">
      <w:pPr>
        <w:shd w:val="clear" w:color="auto" w:fill="FFFFFF"/>
        <w:spacing w:after="0" w:line="307" w:lineRule="atLeast"/>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3)  The donor completes Parts I &amp; II of the CNF and other forms, if required, and returns the completed original(</w:t>
      </w:r>
      <w:r w:rsidRPr="00903D0D">
        <w:rPr>
          <w:rFonts w:ascii="Verdana" w:eastAsia="Times New Roman" w:hAnsi="Verdana" w:cs="Times New Roman"/>
          <w:i/>
          <w:iCs/>
          <w:color w:val="111111"/>
          <w:sz w:val="19"/>
          <w:szCs w:val="19"/>
        </w:rPr>
        <w:t>s</w:t>
      </w:r>
      <w:r w:rsidRPr="00903D0D">
        <w:rPr>
          <w:rFonts w:ascii="Verdana" w:eastAsia="Times New Roman" w:hAnsi="Verdana" w:cs="Times New Roman"/>
          <w:color w:val="111111"/>
          <w:sz w:val="19"/>
          <w:szCs w:val="19"/>
        </w:rPr>
        <w:t xml:space="preserve">) to </w:t>
      </w:r>
      <w:r w:rsidR="007C7D31" w:rsidRPr="007C7D31">
        <w:rPr>
          <w:rFonts w:ascii="Verdana" w:eastAsia="Times New Roman" w:hAnsi="Verdana" w:cs="Times New Roman"/>
          <w:color w:val="111111"/>
          <w:sz w:val="19"/>
          <w:szCs w:val="19"/>
        </w:rPr>
        <w:t>the VDAF</w:t>
      </w:r>
      <w:r w:rsidRPr="00903D0D">
        <w:rPr>
          <w:rFonts w:ascii="Verdana" w:eastAsia="Times New Roman" w:hAnsi="Verdana" w:cs="Times New Roman"/>
          <w:color w:val="111111"/>
          <w:sz w:val="19"/>
          <w:szCs w:val="19"/>
        </w:rPr>
        <w:t>.</w:t>
      </w:r>
    </w:p>
    <w:p w:rsidR="00903D0D" w:rsidRPr="00903D0D" w:rsidRDefault="00903D0D" w:rsidP="00903D0D">
      <w:pPr>
        <w:shd w:val="clear" w:color="auto" w:fill="FFFFFF"/>
        <w:spacing w:before="150" w:after="150" w:line="307" w:lineRule="atLeast"/>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4)  </w:t>
      </w:r>
      <w:r w:rsidR="00927E0B">
        <w:rPr>
          <w:rFonts w:ascii="Verdana" w:eastAsia="Times New Roman" w:hAnsi="Verdana" w:cs="Times New Roman"/>
          <w:color w:val="111111"/>
          <w:sz w:val="19"/>
          <w:szCs w:val="19"/>
        </w:rPr>
        <w:t>T</w:t>
      </w:r>
      <w:r w:rsidR="007C7D31" w:rsidRPr="007C7D31">
        <w:rPr>
          <w:rFonts w:ascii="Verdana" w:eastAsia="Times New Roman" w:hAnsi="Verdana" w:cs="Times New Roman"/>
          <w:color w:val="111111"/>
          <w:sz w:val="19"/>
          <w:szCs w:val="19"/>
        </w:rPr>
        <w:t>he VDAF</w:t>
      </w:r>
      <w:r w:rsidRPr="00903D0D">
        <w:rPr>
          <w:rFonts w:ascii="Verdana" w:eastAsia="Times New Roman" w:hAnsi="Verdana" w:cs="Times New Roman"/>
          <w:color w:val="111111"/>
          <w:sz w:val="19"/>
          <w:szCs w:val="19"/>
        </w:rPr>
        <w:t xml:space="preserve"> certifies the CNF and submits it to the Virgini</w:t>
      </w:r>
      <w:bookmarkStart w:id="0" w:name="_GoBack"/>
      <w:bookmarkEnd w:id="0"/>
      <w:r w:rsidRPr="00903D0D">
        <w:rPr>
          <w:rFonts w:ascii="Verdana" w:eastAsia="Times New Roman" w:hAnsi="Verdana" w:cs="Times New Roman"/>
          <w:color w:val="111111"/>
          <w:sz w:val="19"/>
          <w:szCs w:val="19"/>
        </w:rPr>
        <w:t>a Department of Social Services for review and approval.</w:t>
      </w:r>
    </w:p>
    <w:p w:rsidR="00903D0D" w:rsidRPr="00903D0D" w:rsidRDefault="00903D0D" w:rsidP="00903D0D">
      <w:pPr>
        <w:shd w:val="clear" w:color="auto" w:fill="FFFFFF"/>
        <w:spacing w:before="150" w:after="150" w:line="307" w:lineRule="atLeast"/>
        <w:rPr>
          <w:rFonts w:ascii="Verdana" w:eastAsia="Times New Roman" w:hAnsi="Verdana" w:cs="Times New Roman"/>
          <w:color w:val="111111"/>
          <w:sz w:val="19"/>
          <w:szCs w:val="19"/>
        </w:rPr>
      </w:pPr>
      <w:r w:rsidRPr="00903D0D">
        <w:rPr>
          <w:rFonts w:ascii="Verdana" w:eastAsia="Times New Roman" w:hAnsi="Verdana" w:cs="Times New Roman"/>
          <w:color w:val="111111"/>
          <w:sz w:val="19"/>
          <w:szCs w:val="19"/>
        </w:rPr>
        <w:t>5) The donor receives Tax Credit Certificate by mail from DSS in six to eight weeks.</w:t>
      </w:r>
    </w:p>
    <w:p w:rsidR="00903D0D" w:rsidRPr="00903D0D" w:rsidRDefault="00903D0D" w:rsidP="00903D0D">
      <w:pPr>
        <w:shd w:val="clear" w:color="auto" w:fill="FFFFFF"/>
        <w:spacing w:after="0" w:line="307" w:lineRule="atLeast"/>
        <w:rPr>
          <w:rFonts w:ascii="Verdana" w:eastAsia="Times New Roman" w:hAnsi="Verdana" w:cs="Times New Roman"/>
          <w:color w:val="111111"/>
          <w:sz w:val="19"/>
          <w:szCs w:val="19"/>
        </w:rPr>
      </w:pPr>
      <w:r w:rsidRPr="00903D0D">
        <w:rPr>
          <w:rFonts w:ascii="Verdana" w:eastAsia="Times New Roman" w:hAnsi="Verdana" w:cs="Times New Roman"/>
          <w:b/>
          <w:bCs/>
          <w:color w:val="111111"/>
          <w:sz w:val="19"/>
          <w:szCs w:val="19"/>
        </w:rPr>
        <w:t>Questions about the tax credit?</w:t>
      </w:r>
      <w:r w:rsidRPr="00903D0D">
        <w:rPr>
          <w:rFonts w:ascii="Verdana" w:eastAsia="Times New Roman" w:hAnsi="Verdana" w:cs="Times New Roman"/>
          <w:color w:val="111111"/>
          <w:sz w:val="19"/>
          <w:szCs w:val="19"/>
        </w:rPr>
        <w:t xml:space="preserve">  Contact </w:t>
      </w:r>
      <w:r w:rsidR="007C7D31">
        <w:rPr>
          <w:rFonts w:ascii="Verdana" w:eastAsia="Times New Roman" w:hAnsi="Verdana" w:cs="Times New Roman"/>
          <w:color w:val="111111"/>
          <w:sz w:val="19"/>
          <w:szCs w:val="19"/>
        </w:rPr>
        <w:t>Tara Quinn</w:t>
      </w:r>
      <w:r w:rsidRPr="00903D0D">
        <w:rPr>
          <w:rFonts w:ascii="Verdana" w:eastAsia="Times New Roman" w:hAnsi="Verdana" w:cs="Times New Roman"/>
          <w:color w:val="111111"/>
          <w:sz w:val="19"/>
          <w:szCs w:val="19"/>
        </w:rPr>
        <w:t xml:space="preserve"> at (804) </w:t>
      </w:r>
      <w:r w:rsidR="007C7D31">
        <w:rPr>
          <w:rFonts w:ascii="Verdana" w:eastAsia="Times New Roman" w:hAnsi="Verdana" w:cs="Times New Roman"/>
          <w:color w:val="111111"/>
          <w:sz w:val="19"/>
          <w:szCs w:val="19"/>
        </w:rPr>
        <w:t>523-2181</w:t>
      </w:r>
      <w:r w:rsidRPr="00903D0D">
        <w:rPr>
          <w:rFonts w:ascii="Verdana" w:eastAsia="Times New Roman" w:hAnsi="Verdana" w:cs="Times New Roman"/>
          <w:color w:val="111111"/>
          <w:sz w:val="19"/>
          <w:szCs w:val="19"/>
        </w:rPr>
        <w:t xml:space="preserve"> or email </w:t>
      </w:r>
      <w:hyperlink r:id="rId7" w:history="1">
        <w:r w:rsidR="007C7D31" w:rsidRPr="00187929">
          <w:rPr>
            <w:rStyle w:val="Hyperlink"/>
            <w:rFonts w:ascii="Verdana" w:eastAsia="Times New Roman" w:hAnsi="Verdana" w:cs="Times New Roman"/>
            <w:i/>
            <w:iCs/>
            <w:sz w:val="19"/>
            <w:szCs w:val="19"/>
          </w:rPr>
          <w:t>quinn@vadental.org</w:t>
        </w:r>
      </w:hyperlink>
      <w:r w:rsidRPr="00903D0D">
        <w:rPr>
          <w:rFonts w:ascii="Verdana" w:eastAsia="Times New Roman" w:hAnsi="Verdana" w:cs="Times New Roman"/>
          <w:color w:val="111111"/>
          <w:sz w:val="19"/>
          <w:szCs w:val="19"/>
        </w:rPr>
        <w:t>.</w:t>
      </w:r>
    </w:p>
    <w:p w:rsidR="004D3E4E" w:rsidRDefault="004D3E4E"/>
    <w:sectPr w:rsidR="004D3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9382E"/>
    <w:multiLevelType w:val="multilevel"/>
    <w:tmpl w:val="0E4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C154A"/>
    <w:multiLevelType w:val="multilevel"/>
    <w:tmpl w:val="B8145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0D"/>
    <w:rsid w:val="000360B1"/>
    <w:rsid w:val="000F6207"/>
    <w:rsid w:val="002F6CD0"/>
    <w:rsid w:val="004D3E4E"/>
    <w:rsid w:val="005C5EE3"/>
    <w:rsid w:val="00697CE9"/>
    <w:rsid w:val="00714EC9"/>
    <w:rsid w:val="007C7D31"/>
    <w:rsid w:val="00815F1B"/>
    <w:rsid w:val="00903D0D"/>
    <w:rsid w:val="00927E0B"/>
    <w:rsid w:val="009F5BD3"/>
    <w:rsid w:val="00C85BB8"/>
    <w:rsid w:val="00CB2D6F"/>
    <w:rsid w:val="00E1634F"/>
    <w:rsid w:val="00F3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9C36"/>
  <w15:chartTrackingRefBased/>
  <w15:docId w15:val="{0056334E-6A66-437C-B73B-59DC6B2A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D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521076">
      <w:bodyDiv w:val="1"/>
      <w:marLeft w:val="0"/>
      <w:marRight w:val="0"/>
      <w:marTop w:val="0"/>
      <w:marBottom w:val="0"/>
      <w:divBdr>
        <w:top w:val="none" w:sz="0" w:space="0" w:color="auto"/>
        <w:left w:val="none" w:sz="0" w:space="0" w:color="auto"/>
        <w:bottom w:val="none" w:sz="0" w:space="0" w:color="auto"/>
        <w:right w:val="none" w:sz="0" w:space="0" w:color="auto"/>
      </w:divBdr>
      <w:divsChild>
        <w:div w:id="593588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inn@vadent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daf.org/donors.html" TargetMode="External"/><Relationship Id="rId5" Type="http://schemas.openxmlformats.org/officeDocument/2006/relationships/hyperlink" Target="mailto:quinn@vadenta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Quinn</dc:creator>
  <cp:keywords/>
  <dc:description/>
  <cp:lastModifiedBy>Tara Quinn</cp:lastModifiedBy>
  <cp:revision>13</cp:revision>
  <dcterms:created xsi:type="dcterms:W3CDTF">2019-09-12T13:45:00Z</dcterms:created>
  <dcterms:modified xsi:type="dcterms:W3CDTF">2019-09-12T14:35:00Z</dcterms:modified>
</cp:coreProperties>
</file>